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0262" w14:textId="6DA39B95" w:rsidR="003A557E" w:rsidRDefault="003A557E" w:rsidP="003A557E">
      <w:pPr>
        <w:pStyle w:val="header2"/>
        <w:rPr>
          <w:color w:val="000000" w:themeColor="text1"/>
        </w:rPr>
      </w:pPr>
      <w:r w:rsidRPr="001B30C4">
        <w:t xml:space="preserve">General Jury Instructions at End of </w:t>
      </w:r>
      <w:r>
        <w:t xml:space="preserve">Civil </w:t>
      </w:r>
      <w:r w:rsidRPr="001B30C4">
        <w:t>Case</w:t>
      </w:r>
      <w:r>
        <w:t xml:space="preserve"> [From </w:t>
      </w:r>
      <w:proofErr w:type="spellStart"/>
      <w:r>
        <w:t>Benchbook</w:t>
      </w:r>
      <w:proofErr w:type="spellEnd"/>
      <w:r>
        <w:t xml:space="preserve"> 6.07.A-C]</w:t>
      </w:r>
    </w:p>
    <w:p w14:paraId="0E4F498F" w14:textId="77777777" w:rsidR="003A557E" w:rsidRDefault="003A557E" w:rsidP="003A557E">
      <w:pPr>
        <w:pStyle w:val="header2"/>
        <w:rPr>
          <w:color w:val="000000" w:themeColor="text1"/>
        </w:rPr>
      </w:pPr>
    </w:p>
    <w:p w14:paraId="3147B19C" w14:textId="3AB25F0B" w:rsidR="003A557E" w:rsidRPr="009D2686" w:rsidRDefault="003A557E" w:rsidP="003A557E">
      <w:pPr>
        <w:pStyle w:val="header2"/>
        <w:rPr>
          <w:color w:val="000000" w:themeColor="text1"/>
        </w:rPr>
      </w:pPr>
      <w:r w:rsidRPr="009D2686">
        <w:rPr>
          <w:color w:val="000000" w:themeColor="text1"/>
        </w:rPr>
        <w:t>Outline of instructions</w:t>
      </w:r>
    </w:p>
    <w:p w14:paraId="26757A2D" w14:textId="77777777" w:rsidR="003A557E" w:rsidRPr="009D2686" w:rsidRDefault="003A557E" w:rsidP="003A557E">
      <w:pPr>
        <w:pStyle w:val="body-firstparagraph"/>
        <w:rPr>
          <w:color w:val="000000" w:themeColor="text1"/>
        </w:rPr>
      </w:pPr>
      <w:r w:rsidRPr="009D2686">
        <w:rPr>
          <w:color w:val="000000" w:themeColor="text1"/>
        </w:rPr>
        <w:t>Instructions delivered at the end of a case consist of three parts: Instructions on general rules that define and control the jury’s duties; statement of rules of law that the jury must apply; and rules and guidelines for jury deliberation and return of verdict. Many circuits have developed model or pattern jury instructions, and judges should consult the instructions that have been prepared for use in their circuits.</w:t>
      </w:r>
    </w:p>
    <w:p w14:paraId="03DCD549" w14:textId="77777777" w:rsidR="003A557E" w:rsidRPr="009D2686" w:rsidRDefault="003A557E" w:rsidP="003A557E">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General Rules</w:t>
      </w:r>
    </w:p>
    <w:p w14:paraId="49EF0931"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Outline the duty of the jury</w:t>
      </w:r>
    </w:p>
    <w:p w14:paraId="72407510"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to find facts from admitted </w:t>
      </w:r>
      <w:proofErr w:type="gramStart"/>
      <w:r w:rsidRPr="009D2686">
        <w:rPr>
          <w:rFonts w:ascii="Times New Roman" w:hAnsi="Times New Roman" w:cs="Times New Roman"/>
          <w:color w:val="000000" w:themeColor="text1"/>
        </w:rPr>
        <w:t>evidence;</w:t>
      </w:r>
      <w:proofErr w:type="gramEnd"/>
    </w:p>
    <w:p w14:paraId="2DD7E5F8"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to apply law as given by the court to the facts as found by the jury; and</w:t>
      </w:r>
    </w:p>
    <w:p w14:paraId="4E9E1803"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to decide the case on the evidence and the law regardless of personal opinions and without bias, prejudice, or sympathy.</w:t>
      </w:r>
    </w:p>
    <w:p w14:paraId="220BF86B"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Discuss the burden of proof in civil trials and explain how it differs from the burden of proof in criminal trials.</w:t>
      </w:r>
    </w:p>
    <w:p w14:paraId="4045E5BB"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Indicate the evidence to be considered:</w:t>
      </w:r>
    </w:p>
    <w:p w14:paraId="548B0E00"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sworn testimony of </w:t>
      </w:r>
      <w:proofErr w:type="gramStart"/>
      <w:r w:rsidRPr="009D2686">
        <w:rPr>
          <w:rFonts w:ascii="Times New Roman" w:hAnsi="Times New Roman" w:cs="Times New Roman"/>
          <w:color w:val="000000" w:themeColor="text1"/>
        </w:rPr>
        <w:t>witnesses;</w:t>
      </w:r>
      <w:proofErr w:type="gramEnd"/>
    </w:p>
    <w:p w14:paraId="75A4F262"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r>
      <w:proofErr w:type="gramStart"/>
      <w:r w:rsidRPr="009D2686">
        <w:rPr>
          <w:rFonts w:ascii="Times New Roman" w:hAnsi="Times New Roman" w:cs="Times New Roman"/>
          <w:color w:val="000000" w:themeColor="text1"/>
        </w:rPr>
        <w:t>exhibits;</w:t>
      </w:r>
      <w:proofErr w:type="gramEnd"/>
    </w:p>
    <w:p w14:paraId="53F39861"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stipulations; and</w:t>
      </w:r>
    </w:p>
    <w:p w14:paraId="4329A7F7"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facts judicially noticed.</w:t>
      </w:r>
    </w:p>
    <w:p w14:paraId="301D89B2"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Indicate what is not evidence:</w:t>
      </w:r>
    </w:p>
    <w:p w14:paraId="783838C5"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arguments and statements of </w:t>
      </w:r>
      <w:proofErr w:type="gramStart"/>
      <w:r w:rsidRPr="009D2686">
        <w:rPr>
          <w:rFonts w:ascii="Times New Roman" w:hAnsi="Times New Roman" w:cs="Times New Roman"/>
          <w:color w:val="000000" w:themeColor="text1"/>
        </w:rPr>
        <w:t>counsel;</w:t>
      </w:r>
      <w:proofErr w:type="gramEnd"/>
    </w:p>
    <w:p w14:paraId="1FE6C5DE"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 xml:space="preserve">questions to </w:t>
      </w:r>
      <w:proofErr w:type="gramStart"/>
      <w:r w:rsidRPr="009D2686">
        <w:rPr>
          <w:rFonts w:ascii="Times New Roman" w:hAnsi="Times New Roman" w:cs="Times New Roman"/>
          <w:color w:val="000000" w:themeColor="text1"/>
        </w:rPr>
        <w:t>witnesses;</w:t>
      </w:r>
      <w:proofErr w:type="gramEnd"/>
    </w:p>
    <w:p w14:paraId="7341A97E"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evidence excluded by rulings of the court.</w:t>
      </w:r>
    </w:p>
    <w:p w14:paraId="39102A6E" w14:textId="77777777" w:rsidR="003A557E" w:rsidRPr="009D2686" w:rsidRDefault="003A557E" w:rsidP="003A557E">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Delineate with precision and with specific consideration of the law of your circuit each claim and defense of the parties that is to be submitted to the jury for their consideration.</w:t>
      </w:r>
    </w:p>
    <w:p w14:paraId="3C3887EA" w14:textId="77777777" w:rsidR="003A557E" w:rsidRPr="009D2686" w:rsidRDefault="003A557E" w:rsidP="003A557E">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Jury Procedure</w:t>
      </w:r>
    </w:p>
    <w:p w14:paraId="5FC3008F"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Selection and duty of the foreperson.</w:t>
      </w:r>
    </w:p>
    <w:p w14:paraId="56F96502"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Process of jury deliberation:</w:t>
      </w:r>
    </w:p>
    <w:p w14:paraId="38A4EF9E"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 xml:space="preserve">rational discussion of the evidence by all jurors for the purpose of reaching a unanimous </w:t>
      </w:r>
      <w:proofErr w:type="gramStart"/>
      <w:r w:rsidRPr="009D2686">
        <w:rPr>
          <w:rFonts w:ascii="Times New Roman" w:hAnsi="Times New Roman" w:cs="Times New Roman"/>
          <w:color w:val="000000" w:themeColor="text1"/>
        </w:rPr>
        <w:t>verdict;</w:t>
      </w:r>
      <w:proofErr w:type="gramEnd"/>
    </w:p>
    <w:p w14:paraId="2A895DD6"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each juror is to decide the case for themselves in the context of the evidence and the law, with proper consideration of other jurors’ views; and</w:t>
      </w:r>
    </w:p>
    <w:p w14:paraId="72E1A19F" w14:textId="77777777" w:rsidR="003A557E" w:rsidRPr="009D2686" w:rsidRDefault="003A557E" w:rsidP="003A557E">
      <w:pPr>
        <w:pStyle w:val="levelabc0"/>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jurors may reconsider their views if persuaded by rational discussion but not solely for the sake of reaching a unanimous verdict.</w:t>
      </w:r>
    </w:p>
    <w:p w14:paraId="55024A85"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Absent a stipulation, the verdict must be unanimous on the issue submitted (Fed. R. Civ. P. 48(b)).</w:t>
      </w:r>
    </w:p>
    <w:p w14:paraId="53F1B099"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Explain the verdict form, if used.</w:t>
      </w:r>
      <w:r w:rsidRPr="009D2686">
        <w:rPr>
          <w:rStyle w:val="FootnoteReference"/>
          <w:rFonts w:cs="Times New Roman"/>
          <w:color w:val="000000" w:themeColor="text1"/>
        </w:rPr>
        <w:footnoteReference w:id="1"/>
      </w:r>
    </w:p>
    <w:p w14:paraId="7A10C714"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Jury communications with the court during deliberations must be in writing and signed by the foreperson.</w:t>
      </w:r>
    </w:p>
    <w:p w14:paraId="70B240E0"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6.</w:t>
      </w:r>
      <w:r w:rsidRPr="009D2686">
        <w:rPr>
          <w:rFonts w:ascii="Times New Roman" w:hAnsi="Times New Roman" w:cs="Times New Roman"/>
          <w:color w:val="000000" w:themeColor="text1"/>
        </w:rPr>
        <w:tab/>
        <w:t>The jury must not disclose how it stands numerically or otherwise on the issues submitted.</w:t>
      </w:r>
    </w:p>
    <w:p w14:paraId="016FBFE6" w14:textId="77777777" w:rsidR="003A557E" w:rsidRPr="009D2686" w:rsidRDefault="003A557E" w:rsidP="003A557E">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7.</w:t>
      </w:r>
      <w:r w:rsidRPr="009D2686">
        <w:rPr>
          <w:rFonts w:ascii="Times New Roman" w:hAnsi="Times New Roman" w:cs="Times New Roman"/>
          <w:color w:val="000000" w:themeColor="text1"/>
        </w:rPr>
        <w:tab/>
        <w:t>Consider giving the jury the following instruction</w:t>
      </w:r>
      <w:r w:rsidRPr="009D2686">
        <w:rPr>
          <w:rStyle w:val="FootnoteReference"/>
          <w:rFonts w:cs="Times New Roman"/>
          <w:color w:val="000000" w:themeColor="text1"/>
        </w:rPr>
        <w:footnoteReference w:id="2"/>
      </w:r>
      <w:r w:rsidRPr="009D2686">
        <w:rPr>
          <w:rFonts w:ascii="Times New Roman" w:hAnsi="Times New Roman" w:cs="Times New Roman"/>
          <w:color w:val="000000" w:themeColor="text1"/>
        </w:rPr>
        <w:t>:</w:t>
      </w:r>
    </w:p>
    <w:p w14:paraId="37218B09" w14:textId="77777777" w:rsidR="003A557E" w:rsidRPr="009D2686" w:rsidRDefault="003A557E" w:rsidP="003A557E">
      <w:pPr>
        <w:pStyle w:val="Colloquytextlis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Throughout your deliberations, you may discuss with each other the evidence and the law that has been presented in this case, but you must not communicate with anyone else by any means about the case. You also cannot learn from outside sources about the case, the matters in the case, the legal issues in the case, or individuals or other entities involved in the case. This means you may not use any electronic device or media (such as a phone, computer, or tablet), the internet, any text or instant messaging service, or any social media apps (such as X (formerly Twitter), Facebook, Instagram, LinkedIn, YouTube, WhatsApp, and Snapchat) to research or communicate about what you’ve seen and heard in this courtroom. </w:t>
      </w:r>
    </w:p>
    <w:p w14:paraId="1CDF9FC1" w14:textId="77777777" w:rsidR="003A557E" w:rsidRPr="009D2686" w:rsidRDefault="003A557E" w:rsidP="003A557E">
      <w:pPr>
        <w:pStyle w:val="Colloquytextlist"/>
        <w:tabs>
          <w:tab w:val="left" w:pos="1080"/>
        </w:tabs>
        <w:rPr>
          <w:rFonts w:ascii="Times New Roman" w:hAnsi="Times New Roman" w:cs="Times New Roman"/>
          <w:color w:val="000000" w:themeColor="text1"/>
        </w:rPr>
      </w:pPr>
      <w:r w:rsidRPr="009D2686">
        <w:rPr>
          <w:rFonts w:ascii="Times New Roman" w:hAnsi="Times New Roman" w:cs="Times New Roman"/>
          <w:color w:val="000000" w:themeColor="text1"/>
        </w:rPr>
        <w:tab/>
      </w:r>
      <w:r w:rsidRPr="009D2686">
        <w:rPr>
          <w:rFonts w:ascii="Times New Roman" w:hAnsi="Times New Roman" w:cs="Times New Roman"/>
          <w:color w:val="000000" w:themeColor="text1"/>
        </w:rPr>
        <w:tab/>
        <w:t xml:space="preserve">These restrictions continue during deliberations because it is essential, under our Constitution, that you decide this case based solely on the evidence and law presented in this courtroom. Information you find on the internet or through social media might be incomplete, misleading, or inaccurate. And, as I noted in my instructions at the start of the trial, even using your smartphones, tablets, and computers—and the news and social media apps on those devices—may inadvertently expose you to certain notices, such as pop-ups or advertisements, that could influence your consideration of the matters you’ve heard about in this courtroom. </w:t>
      </w:r>
    </w:p>
    <w:p w14:paraId="4A0078FE" w14:textId="77777777" w:rsidR="003A557E" w:rsidRPr="009D2686" w:rsidRDefault="003A557E" w:rsidP="003A557E">
      <w:pPr>
        <w:pStyle w:val="Colloquytextlist"/>
        <w:tabs>
          <w:tab w:val="left" w:pos="1080"/>
        </w:tabs>
        <w:rPr>
          <w:rFonts w:ascii="Times New Roman" w:hAnsi="Times New Roman" w:cs="Times New Roman"/>
          <w:color w:val="000000" w:themeColor="text1"/>
        </w:rPr>
      </w:pPr>
      <w:r w:rsidRPr="009D2686">
        <w:rPr>
          <w:rFonts w:ascii="Times New Roman" w:hAnsi="Times New Roman" w:cs="Times New Roman"/>
          <w:color w:val="000000" w:themeColor="text1"/>
        </w:rPr>
        <w:tab/>
      </w:r>
      <w:r w:rsidRPr="009D2686">
        <w:rPr>
          <w:rFonts w:ascii="Times New Roman" w:hAnsi="Times New Roman" w:cs="Times New Roman"/>
          <w:color w:val="000000" w:themeColor="text1"/>
        </w:rPr>
        <w:tab/>
        <w:t xml:space="preserve">You are permitted to discuss the case with only your fellow jurors during deliberations because they have seen and heard the same evidence and instructions on the law that you have, and it is important that you decide this case solely on the evidence presented during the trial, without undue influence by anything or anyone outside of the courtroom. For this reason, I expect you to inform me at the earliest opportunity, should you learn about or share any information about this case outside of this courtroom or the jury room, or learn that another juror has done so. </w:t>
      </w:r>
    </w:p>
    <w:p w14:paraId="7FBBFCA2" w14:textId="0F2E85DD" w:rsidR="00F43867" w:rsidRDefault="003A557E" w:rsidP="003A557E">
      <w:r w:rsidRPr="009D2686">
        <w:rPr>
          <w:rFonts w:ascii="Times New Roman" w:hAnsi="Times New Roman"/>
          <w:color w:val="000000" w:themeColor="text1"/>
        </w:rPr>
        <w:tab/>
      </w:r>
      <w:r w:rsidRPr="009D2686">
        <w:rPr>
          <w:rFonts w:ascii="Times New Roman" w:hAnsi="Times New Roman"/>
          <w:color w:val="000000" w:themeColor="text1"/>
        </w:rPr>
        <w:tab/>
        <w:t>Any juror who violates these restrictions jeopardizes the fairness of these proceedings, and a mistrial could result, which would require the entire trial process to start over.</w:t>
      </w:r>
    </w:p>
    <w:sectPr w:rsidR="00F43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8E2D" w14:textId="77777777" w:rsidR="003A557E" w:rsidRDefault="003A557E" w:rsidP="003A557E">
      <w:pPr>
        <w:spacing w:after="0" w:line="240" w:lineRule="auto"/>
      </w:pPr>
      <w:r>
        <w:separator/>
      </w:r>
    </w:p>
  </w:endnote>
  <w:endnote w:type="continuationSeparator" w:id="0">
    <w:p w14:paraId="1B6CA020" w14:textId="77777777" w:rsidR="003A557E" w:rsidRDefault="003A557E" w:rsidP="003A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2CB1" w14:textId="77777777" w:rsidR="003A557E" w:rsidRDefault="003A557E" w:rsidP="003A557E">
      <w:pPr>
        <w:spacing w:after="0" w:line="240" w:lineRule="auto"/>
      </w:pPr>
      <w:r>
        <w:separator/>
      </w:r>
    </w:p>
  </w:footnote>
  <w:footnote w:type="continuationSeparator" w:id="0">
    <w:p w14:paraId="6646416D" w14:textId="77777777" w:rsidR="003A557E" w:rsidRDefault="003A557E" w:rsidP="003A557E">
      <w:pPr>
        <w:spacing w:after="0" w:line="240" w:lineRule="auto"/>
      </w:pPr>
      <w:r>
        <w:continuationSeparator/>
      </w:r>
    </w:p>
  </w:footnote>
  <w:footnote w:id="1">
    <w:p w14:paraId="06D21DBF" w14:textId="77777777" w:rsidR="003A557E" w:rsidRPr="009D2686" w:rsidRDefault="003A557E" w:rsidP="003A557E">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Consider whether to use a special verdict (Fed. R. Civ. P. 49(a)). It can be a useful device to reduce the risk of having to retry the entire case.</w:t>
      </w:r>
    </w:p>
  </w:footnote>
  <w:footnote w:id="2">
    <w:p w14:paraId="45CBCD2D" w14:textId="77777777" w:rsidR="003A557E" w:rsidRPr="009D2686" w:rsidRDefault="003A557E" w:rsidP="003A557E">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The following instruction is from the “</w:t>
      </w:r>
      <w:r w:rsidRPr="009D2686">
        <w:rPr>
          <w:rFonts w:cs="Times New Roman"/>
          <w:bCs/>
          <w:color w:val="000000" w:themeColor="text1"/>
        </w:rPr>
        <w:t>Proposed Model Jury Instructions: The Use of Electronic Technology to Learn or Communicate about a Case,</w:t>
      </w:r>
      <w:r w:rsidRPr="009D2686">
        <w:rPr>
          <w:rFonts w:cs="Times New Roman"/>
          <w:b/>
          <w:bCs/>
          <w:color w:val="000000" w:themeColor="text1"/>
        </w:rPr>
        <w:t xml:space="preserve">” </w:t>
      </w:r>
      <w:r w:rsidRPr="009D2686">
        <w:rPr>
          <w:rFonts w:cs="Times New Roman"/>
          <w:color w:val="000000" w:themeColor="text1"/>
        </w:rPr>
        <w:t xml:space="preserve">prepared by the Judicial Conference Committee on Court Administration and Case Management (Updated June 2020). </w:t>
      </w:r>
      <w:r w:rsidRPr="009D2686">
        <w:rPr>
          <w:rStyle w:val="italic"/>
          <w:rFonts w:cs="Times New Roman"/>
          <w:color w:val="000000" w:themeColor="text1"/>
        </w:rPr>
        <w:t>See also</w:t>
      </w:r>
      <w:r w:rsidRPr="009D2686">
        <w:rPr>
          <w:rFonts w:cs="Times New Roman"/>
          <w:color w:val="000000" w:themeColor="text1"/>
        </w:rPr>
        <w:t xml:space="preserve"> Memorandum, “Updated Model jury Instructions on Social Media and Other Communications” from Judge Audrey G. Fleissig, Chair, Committee on Court Administration and Case Management (Sept. 1, 2020),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Judiciary Responses to Foreign State Efforts to Undermine the Courts (</w:t>
        </w:r>
        <w:proofErr w:type="spellStart"/>
        <w:r w:rsidRPr="0048181A">
          <w:rPr>
            <w:rStyle w:val="Hyperlink"/>
            <w:rFonts w:cs="Times New Roman"/>
            <w:color w:val="0070C0"/>
          </w:rPr>
          <w:t>ao.dcn</w:t>
        </w:r>
        <w:proofErr w:type="spellEnd"/>
        <w:r w:rsidRPr="0048181A">
          <w:rPr>
            <w:rStyle w:val="Hyperlink"/>
            <w:rFonts w:cs="Times New Roman"/>
            <w:color w:val="0070C0"/>
          </w:rPr>
          <w:t>)</w:t>
        </w:r>
      </w:hyperlink>
      <w:r w:rsidRPr="009D2686">
        <w:rPr>
          <w:rFonts w:cs="Times New Roman"/>
          <w:color w:val="000000" w:themeColor="text1"/>
        </w:rPr>
        <w:t xml:space="preserve">. </w:t>
      </w:r>
      <w:r w:rsidRPr="009D2686">
        <w:rPr>
          <w:rStyle w:val="italic"/>
          <w:rFonts w:cs="Times New Roman"/>
          <w:color w:val="000000" w:themeColor="text1"/>
        </w:rPr>
        <w:t>See also</w:t>
      </w:r>
      <w:r w:rsidRPr="009D2686">
        <w:rPr>
          <w:rFonts w:cs="Times New Roman"/>
          <w:color w:val="000000" w:themeColor="text1"/>
        </w:rPr>
        <w:t xml:space="preserve"> “</w:t>
      </w:r>
      <w:r w:rsidRPr="009D2686">
        <w:rPr>
          <w:rFonts w:cs="Times New Roman"/>
          <w:bCs/>
          <w:color w:val="000000" w:themeColor="text1"/>
        </w:rPr>
        <w:t xml:space="preserve">Strategies for Preventing Jurors’ Use of Social Media During Trials and Deliberations” </w:t>
      </w:r>
      <w:r w:rsidRPr="009D2686">
        <w:rPr>
          <w:rStyle w:val="italic"/>
          <w:rFonts w:cs="Times New Roman"/>
          <w:color w:val="000000" w:themeColor="text1"/>
        </w:rPr>
        <w:t>in</w:t>
      </w:r>
      <w:r w:rsidRPr="009D2686">
        <w:rPr>
          <w:rFonts w:cs="Times New Roman"/>
          <w:color w:val="000000" w:themeColor="text1"/>
        </w:rPr>
        <w:t xml:space="preserve"> Jurors’ Use of Social Media During Trials and Deliberations: </w:t>
      </w:r>
      <w:r w:rsidRPr="009D2686">
        <w:rPr>
          <w:rFonts w:cs="Times New Roman"/>
          <w:iCs/>
          <w:color w:val="000000" w:themeColor="text1"/>
        </w:rPr>
        <w:t xml:space="preserve">A Report to the Judicial Conference Committee on Court Administration and Case Management </w:t>
      </w:r>
      <w:r w:rsidRPr="009D2686">
        <w:rPr>
          <w:rFonts w:cs="Times New Roman"/>
          <w:bCs/>
          <w:color w:val="000000" w:themeColor="text1"/>
        </w:rPr>
        <w:t>5–11</w:t>
      </w:r>
      <w:r w:rsidRPr="009D2686">
        <w:rPr>
          <w:rFonts w:cs="Times New Roman"/>
          <w:iCs/>
          <w:color w:val="000000" w:themeColor="text1"/>
        </w:rPr>
        <w:t xml:space="preserve"> (Federal Judicial Center Nov. 22, 2011), </w:t>
      </w:r>
      <w:r w:rsidRPr="009D2686">
        <w:rPr>
          <w:rStyle w:val="italic"/>
          <w:rFonts w:cs="Times New Roman"/>
          <w:color w:val="000000" w:themeColor="text1"/>
        </w:rPr>
        <w:t>available at</w:t>
      </w:r>
      <w:r w:rsidRPr="009D2686">
        <w:rPr>
          <w:rFonts w:cs="Times New Roman"/>
          <w:iCs/>
          <w:color w:val="000000" w:themeColor="text1"/>
        </w:rPr>
        <w:t xml:space="preserve"> </w:t>
      </w:r>
      <w:hyperlink r:id="rId2" w:history="1">
        <w:r w:rsidRPr="0048181A">
          <w:rPr>
            <w:rStyle w:val="Hyperlink"/>
            <w:rFonts w:cs="Times New Roman"/>
            <w:color w:val="0070C0"/>
          </w:rPr>
          <w:t>Jurors' Use of Social Media (</w:t>
        </w:r>
        <w:proofErr w:type="spellStart"/>
        <w:r w:rsidRPr="0048181A">
          <w:rPr>
            <w:rStyle w:val="Hyperlink"/>
            <w:rFonts w:cs="Times New Roman"/>
            <w:color w:val="0070C0"/>
          </w:rPr>
          <w:t>fjc.dcn</w:t>
        </w:r>
        <w:proofErr w:type="spellEnd"/>
        <w:r w:rsidRPr="0048181A">
          <w:rPr>
            <w:rStyle w:val="Hyperlink"/>
            <w:rFonts w:cs="Times New Roman"/>
            <w:color w:val="0070C0"/>
          </w:rPr>
          <w:t>)</w:t>
        </w:r>
      </w:hyperlink>
      <w:r w:rsidRPr="009D2686">
        <w:rPr>
          <w:rFonts w:cs="Times New Roman"/>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E"/>
    <w:rsid w:val="000D6417"/>
    <w:rsid w:val="003A557E"/>
    <w:rsid w:val="00401996"/>
    <w:rsid w:val="00500E09"/>
    <w:rsid w:val="00524EFF"/>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D2D5"/>
  <w15:chartTrackingRefBased/>
  <w15:docId w15:val="{E17BD0F0-0853-4F30-977C-59B157DF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7E"/>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A5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A5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57E"/>
    <w:rPr>
      <w:rFonts w:eastAsiaTheme="majorEastAsia" w:cstheme="majorBidi"/>
      <w:color w:val="272727" w:themeColor="text1" w:themeTint="D8"/>
    </w:rPr>
  </w:style>
  <w:style w:type="paragraph" w:styleId="Title">
    <w:name w:val="Title"/>
    <w:basedOn w:val="Normal"/>
    <w:next w:val="Normal"/>
    <w:link w:val="TitleChar"/>
    <w:uiPriority w:val="10"/>
    <w:qFormat/>
    <w:rsid w:val="003A5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57E"/>
    <w:pPr>
      <w:spacing w:before="160"/>
      <w:jc w:val="center"/>
    </w:pPr>
    <w:rPr>
      <w:i/>
      <w:iCs/>
      <w:color w:val="404040" w:themeColor="text1" w:themeTint="BF"/>
    </w:rPr>
  </w:style>
  <w:style w:type="character" w:customStyle="1" w:styleId="QuoteChar">
    <w:name w:val="Quote Char"/>
    <w:basedOn w:val="DefaultParagraphFont"/>
    <w:link w:val="Quote"/>
    <w:uiPriority w:val="29"/>
    <w:rsid w:val="003A557E"/>
    <w:rPr>
      <w:i/>
      <w:iCs/>
      <w:color w:val="404040" w:themeColor="text1" w:themeTint="BF"/>
    </w:rPr>
  </w:style>
  <w:style w:type="paragraph" w:styleId="ListParagraph">
    <w:name w:val="List Paragraph"/>
    <w:basedOn w:val="Normal"/>
    <w:uiPriority w:val="34"/>
    <w:qFormat/>
    <w:rsid w:val="003A557E"/>
    <w:pPr>
      <w:ind w:left="720"/>
      <w:contextualSpacing/>
    </w:pPr>
  </w:style>
  <w:style w:type="character" w:styleId="IntenseEmphasis">
    <w:name w:val="Intense Emphasis"/>
    <w:basedOn w:val="DefaultParagraphFont"/>
    <w:uiPriority w:val="21"/>
    <w:qFormat/>
    <w:rsid w:val="003A557E"/>
    <w:rPr>
      <w:i/>
      <w:iCs/>
      <w:color w:val="0F4761" w:themeColor="accent1" w:themeShade="BF"/>
    </w:rPr>
  </w:style>
  <w:style w:type="paragraph" w:styleId="IntenseQuote">
    <w:name w:val="Intense Quote"/>
    <w:basedOn w:val="Normal"/>
    <w:next w:val="Normal"/>
    <w:link w:val="IntenseQuoteChar"/>
    <w:uiPriority w:val="30"/>
    <w:qFormat/>
    <w:rsid w:val="003A5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57E"/>
    <w:rPr>
      <w:i/>
      <w:iCs/>
      <w:color w:val="0F4761" w:themeColor="accent1" w:themeShade="BF"/>
    </w:rPr>
  </w:style>
  <w:style w:type="character" w:styleId="IntenseReference">
    <w:name w:val="Intense Reference"/>
    <w:basedOn w:val="DefaultParagraphFont"/>
    <w:uiPriority w:val="32"/>
    <w:qFormat/>
    <w:rsid w:val="003A557E"/>
    <w:rPr>
      <w:b/>
      <w:bCs/>
      <w:smallCaps/>
      <w:color w:val="0F4761" w:themeColor="accent1" w:themeShade="BF"/>
      <w:spacing w:val="5"/>
    </w:rPr>
  </w:style>
  <w:style w:type="character" w:styleId="FootnoteReference">
    <w:name w:val="footnote reference"/>
    <w:uiPriority w:val="99"/>
    <w:unhideWhenUsed/>
    <w:rsid w:val="003A557E"/>
    <w:rPr>
      <w:rFonts w:ascii="Times New Roman" w:hAnsi="Times New Roman"/>
      <w:vertAlign w:val="superscript"/>
    </w:rPr>
  </w:style>
  <w:style w:type="character" w:styleId="Hyperlink">
    <w:name w:val="Hyperlink"/>
    <w:uiPriority w:val="99"/>
    <w:unhideWhenUsed/>
    <w:rsid w:val="003A557E"/>
    <w:rPr>
      <w:rFonts w:ascii="Times New Roman" w:hAnsi="Times New Roman"/>
      <w:color w:val="0563C1"/>
      <w:u w:val="single"/>
    </w:rPr>
  </w:style>
  <w:style w:type="character" w:customStyle="1" w:styleId="italic">
    <w:name w:val="italic"/>
    <w:uiPriority w:val="1"/>
    <w:qFormat/>
    <w:rsid w:val="003A557E"/>
    <w:rPr>
      <w:rFonts w:ascii="Times New Roman" w:hAnsi="Times New Roman"/>
      <w:i/>
      <w:color w:val="FF0000"/>
    </w:rPr>
  </w:style>
  <w:style w:type="paragraph" w:customStyle="1" w:styleId="body-firstparagraph">
    <w:name w:val="body-first paragraph"/>
    <w:basedOn w:val="Normal"/>
    <w:qFormat/>
    <w:rsid w:val="003A557E"/>
    <w:pPr>
      <w:tabs>
        <w:tab w:val="left" w:pos="180"/>
      </w:tabs>
      <w:spacing w:after="60" w:line="242" w:lineRule="auto"/>
      <w:jc w:val="both"/>
    </w:pPr>
    <w:rPr>
      <w:rFonts w:ascii="Times New Roman" w:hAnsi="Times New Roman"/>
    </w:rPr>
  </w:style>
  <w:style w:type="paragraph" w:customStyle="1" w:styleId="footnotesnew">
    <w:name w:val="footnotesnew"/>
    <w:basedOn w:val="FootnoteText"/>
    <w:qFormat/>
    <w:rsid w:val="003A557E"/>
    <w:pPr>
      <w:keepLines/>
      <w:spacing w:afterLines="20" w:after="48"/>
      <w:ind w:firstLine="360"/>
      <w:jc w:val="both"/>
    </w:pPr>
    <w:rPr>
      <w:rFonts w:ascii="Times New Roman" w:hAnsi="Times New Roman" w:cs="Calibri"/>
    </w:rPr>
  </w:style>
  <w:style w:type="paragraph" w:customStyle="1" w:styleId="header2">
    <w:name w:val="header2"/>
    <w:basedOn w:val="Normal"/>
    <w:qFormat/>
    <w:rsid w:val="003A557E"/>
    <w:pPr>
      <w:tabs>
        <w:tab w:val="left" w:pos="360"/>
      </w:tabs>
      <w:spacing w:before="120" w:after="60" w:line="240" w:lineRule="auto"/>
    </w:pPr>
    <w:rPr>
      <w:rFonts w:ascii="Times New Roman" w:hAnsi="Times New Roman"/>
      <w:b/>
      <w:bCs/>
      <w:sz w:val="24"/>
      <w:szCs w:val="24"/>
    </w:rPr>
  </w:style>
  <w:style w:type="paragraph" w:customStyle="1" w:styleId="LevelABC">
    <w:name w:val="Level ABC"/>
    <w:basedOn w:val="Normal"/>
    <w:uiPriority w:val="99"/>
    <w:rsid w:val="003A557E"/>
    <w:pPr>
      <w:tabs>
        <w:tab w:val="left" w:pos="360"/>
      </w:tabs>
      <w:autoSpaceDE w:val="0"/>
      <w:autoSpaceDN w:val="0"/>
      <w:spacing w:before="60" w:after="0" w:line="260" w:lineRule="atLeast"/>
      <w:ind w:left="360" w:hanging="360"/>
      <w:jc w:val="both"/>
    </w:pPr>
    <w:rPr>
      <w:rFonts w:ascii="Utopia" w:eastAsia="Times" w:hAnsi="Utopia" w:cs="Utopia"/>
      <w:kern w:val="0"/>
    </w:rPr>
  </w:style>
  <w:style w:type="paragraph" w:customStyle="1" w:styleId="level123">
    <w:name w:val="level 123"/>
    <w:basedOn w:val="Normal"/>
    <w:uiPriority w:val="99"/>
    <w:rsid w:val="003A557E"/>
    <w:pPr>
      <w:tabs>
        <w:tab w:val="left" w:pos="-2520"/>
        <w:tab w:val="left" w:pos="360"/>
      </w:tabs>
      <w:autoSpaceDE w:val="0"/>
      <w:autoSpaceDN w:val="0"/>
      <w:spacing w:before="60" w:after="0" w:line="260" w:lineRule="atLeast"/>
      <w:ind w:left="720" w:hanging="360"/>
      <w:jc w:val="both"/>
    </w:pPr>
    <w:rPr>
      <w:rFonts w:ascii="Utopia" w:eastAsia="Times" w:hAnsi="Utopia" w:cs="Utopia"/>
      <w:kern w:val="0"/>
    </w:rPr>
  </w:style>
  <w:style w:type="paragraph" w:customStyle="1" w:styleId="Colloquytextlist">
    <w:name w:val="Colloquy text list"/>
    <w:basedOn w:val="Normal"/>
    <w:uiPriority w:val="99"/>
    <w:rsid w:val="003A557E"/>
    <w:pPr>
      <w:autoSpaceDE w:val="0"/>
      <w:autoSpaceDN w:val="0"/>
      <w:spacing w:before="60" w:after="0" w:line="260" w:lineRule="atLeast"/>
      <w:ind w:left="720" w:hanging="360"/>
      <w:jc w:val="both"/>
    </w:pPr>
    <w:rPr>
      <w:rFonts w:ascii="ITC Legacy Sans Medium" w:eastAsia="Times" w:hAnsi="ITC Legacy Sans Medium" w:cs="ITC Legacy Sans Medium"/>
      <w:kern w:val="0"/>
      <w:sz w:val="24"/>
      <w:szCs w:val="24"/>
    </w:rPr>
  </w:style>
  <w:style w:type="paragraph" w:customStyle="1" w:styleId="levelabc0">
    <w:name w:val="level abc"/>
    <w:basedOn w:val="Normal"/>
    <w:uiPriority w:val="99"/>
    <w:rsid w:val="003A557E"/>
    <w:pPr>
      <w:tabs>
        <w:tab w:val="left" w:pos="360"/>
      </w:tabs>
      <w:autoSpaceDE w:val="0"/>
      <w:autoSpaceDN w:val="0"/>
      <w:spacing w:before="40" w:after="0" w:line="260" w:lineRule="atLeast"/>
      <w:ind w:left="1080" w:hanging="360"/>
      <w:jc w:val="both"/>
    </w:pPr>
    <w:rPr>
      <w:rFonts w:ascii="Utopia" w:eastAsia="Times" w:hAnsi="Utopia" w:cs="Utopia"/>
      <w:kern w:val="0"/>
    </w:rPr>
  </w:style>
  <w:style w:type="paragraph" w:styleId="FootnoteText">
    <w:name w:val="footnote text"/>
    <w:basedOn w:val="Normal"/>
    <w:link w:val="FootnoteTextChar"/>
    <w:uiPriority w:val="99"/>
    <w:semiHidden/>
    <w:unhideWhenUsed/>
    <w:rsid w:val="003A5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57E"/>
    <w:rPr>
      <w:rFonts w:ascii="Calibri" w:eastAsia="Calibri"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fjc.dcn/sites/default/files/2012/DunnJuror.pdf" TargetMode="External"/><Relationship Id="rId1" Type="http://schemas.openxmlformats.org/officeDocument/2006/relationships/hyperlink" Target="https://jnet.ao.dcn/sites/default/files/pdf/DIR20-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3756</Characters>
  <Application>Microsoft Office Word</Application>
  <DocSecurity>0</DocSecurity>
  <Lines>31</Lines>
  <Paragraphs>8</Paragraphs>
  <ScaleCrop>false</ScaleCrop>
  <Company>Federal Judicial Center</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2025-12-12T16:38:00Z</dcterms:created>
  <dcterms:modified xsi:type="dcterms:W3CDTF">2025-12-12T16:43:00Z</dcterms:modified>
</cp:coreProperties>
</file>